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KLAUZULA INFORMACYJNA – FORMULARZ KONTAKTOWY KKW</w:t>
      </w:r>
    </w:p>
    <w:p>
      <w:pPr>
        <w:spacing w:after="280"/>
      </w:pPr>
      <w:r>
        <w:rPr>
          <w:color w:val="064B53"/>
        </w:rPr>
        <w:t>art. 13 RODO | wersja z 9 września 2026 r.</w:t>
      </w:r>
    </w:p>
    <w:p>
      <w:pPr>
        <w:pStyle w:val="Heading2"/>
      </w:pPr>
      <w:r>
        <w:t>1. Administratorzy i kontakt</w:t>
      </w:r>
    </w:p>
    <w:p>
      <w:pPr>
        <w:jc w:val="both"/>
      </w:pPr>
      <w:r>
        <w:t>Współadministratorami danych przetwarzanych w ramach działalności prowadzonej pod marką Kapłanowski Krstulović &amp; Wspólnicy (Kancelaria KKW), w tym w związku z serwisami kancelaria-kkw.pl oraz Sprawy-Spadkowe-w-Poznaniu.pl, są Adwokat Konrad Krstulović, Kancelaria Adwokacka Adwokat Konrad Krstulović, ul. Ignacego Jana Paderewskiego 6 lok. 11, 61-770 Poznań, NIP 7792560071, oraz Radca prawny Marcin Kapłanowski, Kancelaria Radcy Prawnego Marcin Kapłanowski, ul. Ignacego Jana Paderewskiego 6 lok. 11, 61-770 Poznań, NIP 9721346093. Kontakt w sprawach danych osobowych: biuro@kancelaria-kkw.pl.</w:t>
      </w:r>
    </w:p>
    <w:p>
      <w:pPr>
        <w:pStyle w:val="Heading2"/>
      </w:pPr>
      <w:r>
        <w:t>2. Cel i podstawa przetwarzania</w:t>
      </w:r>
    </w:p>
    <w:p>
      <w:pPr>
        <w:jc w:val="both"/>
      </w:pPr>
      <w:r>
        <w:t>Dane podane w formularzu są przetwarzane w celu udzielenia odpowiedzi, prowadzenia korespondencji oraz – jeżeli zapytanie dotyczy potencjalnego zlecenia – podjęcia na Państwa żądanie działań przed zawarciem umowy.</w:t>
      </w:r>
    </w:p>
    <w:p>
      <w:pPr>
        <w:jc w:val="both"/>
      </w:pPr>
      <w:r>
        <w:t>Podstawą jest art. 6 ust. 1 lit. b RODO, gdy kontakt zmierza do zawarcia umowy z osobą, której dane dotyczą, albo art. 6 ust. 1 lit. f RODO, gdy podstawą jest prawnie uzasadniony interes Administratora polegający na obsłudze zapytania i komunikacji, w szczególności gdy wiadomość jest wysyłana w imieniu innego podmiotu.</w:t>
      </w:r>
    </w:p>
    <w:p>
      <w:pPr>
        <w:jc w:val="both"/>
      </w:pPr>
      <w:r>
        <w:t>Jeżeli w wiadomości zostaną przekazane dane niezbędne do oceny roszczenia należące do szczególnych kategorii, mogą być one przetwarzane na podstawie art. 9 ust. 2 lit. f RODO. W innych sytuacjach KKW ogranicza wykorzystanie danych szczególnych kategorii do niezbędnego minimum i może usunąć informacje zbędne albo poprosić o odrębną właściwą podstawę. Dane dotyczące wyroków skazujących i czynów zabronionych są przetwarzane wyłącznie w zakresie dopuszczalnym na podstawie art. 10 RODO i właściwych przepisów prawa.</w:t>
      </w:r>
    </w:p>
    <w:p>
      <w:pPr>
        <w:pStyle w:val="Heading2"/>
      </w:pPr>
      <w:r>
        <w:t>3. Dobrowolność podania danych</w:t>
      </w:r>
    </w:p>
    <w:p>
      <w:pPr>
        <w:jc w:val="both"/>
      </w:pPr>
      <w:r>
        <w:t>Podanie danych jest dobrowolne, ale brak danych oznaczonych jako wymagane może uniemożliwić wysłanie formularza lub udzielenie odpowiedzi. Prosimy o przekazywanie w pierwszej wiadomości tylko informacji potrzebnych do wstępnej oceny sprawy i niewysyłanie dokumentów tożsamości ani zbędnych danych osób trzecich.</w:t>
      </w:r>
    </w:p>
    <w:p>
      <w:pPr>
        <w:pStyle w:val="Heading2"/>
      </w:pPr>
      <w:r>
        <w:t>4. Odbiorcy danych</w:t>
      </w:r>
    </w:p>
    <w:p>
      <w:pPr>
        <w:jc w:val="both"/>
      </w:pPr>
      <w:r>
        <w:t>Dane mogą być powierzane dostawcom hostingu, platformy Serwisu, poczty elektronicznej, chmury, narzędzi biurowych, wsparcia IT i cyberbezpieczeństwa oraz innym podmiotom wspierającym obsługę kontaktu. Jeżeli jest to potrzebne do oceny sprawy albo podjęcia działań na żądanie osoby kontaktującej się, dane mogą zostać udostępnione także prawnikom współpracującym z Kancelarią KKW lub innym specjalistom, z zachowaniem właściwych zasad poufności.</w:t>
      </w:r>
    </w:p>
    <w:p>
      <w:pPr>
        <w:pStyle w:val="Heading2"/>
      </w:pPr>
      <w:r>
        <w:t>5. Transfery poza EOG</w:t>
      </w:r>
    </w:p>
    <w:p>
      <w:pPr>
        <w:jc w:val="both"/>
      </w:pPr>
      <w:r>
        <w:t>Jeżeli wykorzystywany dostawca usług internetowych przetwarza dane poza Europejskim Obszarem Gospodarczym, transfer odbywa się na podstawie mechanizmu przewidzianego w rozdziale V RODO, w szczególności decyzji o odpowiednim stopniu ochrony albo standardowych klauzul umownych wraz z wymaganymi zabezpieczeniami.</w:t>
      </w:r>
    </w:p>
    <w:p>
      <w:pPr>
        <w:pStyle w:val="Heading2"/>
      </w:pPr>
      <w:r>
        <w:t>6. Okres przechowywania</w:t>
      </w:r>
    </w:p>
    <w:p>
      <w:pPr>
        <w:jc w:val="both"/>
      </w:pPr>
      <w:r>
        <w:t>Dane są przechowywane do zakończenia obsługi zapytania, a następnie przez okres niezbędny do wykazania przebiegu kontaktu, oceny konfliktu interesów, wykonania obowiązków zawodowych lub obrony przed roszczeniami. Jeżeli dojdzie do zawarcia umowy, dalsze przetwarzanie odbywa się na zasadach właściwych dla dokumentacji klienta i prowadzonej sprawy.</w:t>
      </w:r>
    </w:p>
    <w:p>
      <w:pPr>
        <w:pStyle w:val="Heading2"/>
      </w:pPr>
      <w:r>
        <w:t>7. Prawa</w:t>
      </w:r>
    </w:p>
    <w:p>
      <w:pPr>
        <w:jc w:val="both"/>
      </w:pPr>
      <w:r>
        <w:t>W granicach przewidzianych w RODO przysługuje Państwu:</w:t>
        <w:br/>
        <w:t>– prawo dostępu do danych osobowych i uzyskania ich kopii;</w:t>
        <w:br/>
        <w:t>– prawo sprostowania danych;</w:t>
        <w:br/>
        <w:t>– prawo usunięcia danych – w przypadkach przewidzianych w art. 17 RODO;</w:t>
        <w:br/>
        <w:t>– prawo ograniczenia przetwarzania;</w:t>
        <w:br/>
        <w:t>– prawo przeniesienia danych – gdy spełnione są warunki określone w art. 20 RODO;</w:t>
        <w:br/>
        <w:t>– prawo wniesienia sprzeciwu wobec przetwarzania opartego na art. 6 ust. 1 lit. f RODO – z przyczyn związanych z Państwa szczególną sytuacją;</w:t>
        <w:br/>
        <w:t>– prawo wycofania zgody w dowolnym momencie, jeżeli zgoda stanowi podstawę konkretnej operacji, bez wpływu na zgodność z prawem przetwarzania dokonanego przed jej wycofaniem.</w:t>
      </w:r>
    </w:p>
    <w:p>
      <w:pPr>
        <w:jc w:val="both"/>
      </w:pPr>
      <w:r>
        <w:t>Po przyjęciu sprawy zakres realizacji powyższych praw może podlegać ograniczeniom wynikającym z tajemnicy zawodowej i przepisów zawodowych.</w:t>
      </w:r>
    </w:p>
    <w:p>
      <w:pPr>
        <w:jc w:val="both"/>
      </w:pPr>
      <w:r>
        <w:t>Skargę można wnieść do Prezesa Urzędu Ochrony Danych Osobowych; aktualne dane kontaktowe organu są dostępne na uodo.gov.pl. KKW nie podejmuje wobec osób korzystających z formularza decyzji opartych wyłącznie na zautomatyzowanym przetwarzaniu, które wywoływałyby skutki prawne lub podobnie istotnie na nie wpływały.</w:t>
      </w:r>
    </w:p>
    <w:sectPr w:rsidR="00FC693F" w:rsidRPr="0006063C" w:rsidSect="00034616">
      <w:headerReference w:type="default" r:id="rId9"/>
      <w:footerReference w:type="default" r:id="rId10"/>
      <w:pgSz w:w="12240" w:h="15840"/>
      <w:pgMar w:top="1008" w:right="1123" w:bottom="936" w:left="112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rPr>
        <w:sz w:val="16"/>
      </w:rPr>
      <w:t xml:space="preserve">KKW  •  9 września 2026  |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Caption"/>
    </w:pPr>
    <w:r>
      <w:rPr>
        <w:color w:val="064B53"/>
      </w:rPr>
      <w:t>KKW  |  SPRAWY SPADKOWE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doNotExpandShiftReturn/>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line="269" w:lineRule="auto" w:after="140"/>
    </w:pPr>
    <w:rPr>
      <w:rFonts w:ascii="Noto Sans" w:hAnsi="Noto Sans" w:eastAsia="Noto San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40" w:after="160"/>
      <w:outlineLvl w:val="0"/>
    </w:pPr>
    <w:rPr>
      <w:rFonts w:cstheme="majorBidi" w:ascii="Noto Sans" w:hAnsi="Noto Sans"/>
      <w:b/>
      <w:bCs/>
      <w:color w:val="064B53"/>
      <w:sz w:val="34"/>
      <w:szCs w:val="28"/>
    </w:rPr>
  </w:style>
  <w:style w:type="paragraph" w:styleId="Heading2">
    <w:name w:val="heading 2"/>
    <w:basedOn w:val="Normal"/>
    <w:next w:val="Normal"/>
    <w:link w:val="Heading2Char"/>
    <w:uiPriority w:val="9"/>
    <w:unhideWhenUsed/>
    <w:qFormat/>
    <w:rsid w:val="00FC693F"/>
    <w:pPr>
      <w:keepNext/>
      <w:keepLines/>
      <w:spacing w:before="240" w:after="160"/>
      <w:outlineLvl w:val="1"/>
    </w:pPr>
    <w:rPr>
      <w:rFonts w:cstheme="majorBidi" w:ascii="Noto Sans" w:hAnsi="Noto Sans"/>
      <w:b/>
      <w:bCs/>
      <w:color w:val="064B53"/>
      <w:sz w:val="24"/>
      <w:szCs w:val="26"/>
    </w:rPr>
  </w:style>
  <w:style w:type="paragraph" w:styleId="Heading3">
    <w:name w:val="heading 3"/>
    <w:basedOn w:val="Normal"/>
    <w:next w:val="Normal"/>
    <w:link w:val="Heading3Char"/>
    <w:uiPriority w:val="9"/>
    <w:unhideWhenUsed/>
    <w:qFormat/>
    <w:rsid w:val="00FC693F"/>
    <w:pPr>
      <w:keepNext/>
      <w:keepLines/>
      <w:spacing w:before="240" w:after="160"/>
      <w:outlineLvl w:val="2"/>
    </w:pPr>
    <w:rPr>
      <w:rFonts w:cstheme="majorBidi" w:ascii="Noto Sans" w:hAnsi="Noto Sans"/>
      <w:b/>
      <w:bCs/>
      <w:color w:val="064B53"/>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cstheme="majorBidi"/>
      <w:b/>
      <w:bCs/>
      <w:color w:val="4F81BD" w:themeColor="accent1"/>
    </w:rPr>
  </w:style>
  <w:style w:type="paragraph" w:styleId="Title">
    <w:name w:val="Title"/>
    <w:basedOn w:val="Normal"/>
    <w:next w:val="Normal"/>
    <w:link w:val="TitleChar"/>
    <w:uiPriority w:val="10"/>
    <w:qFormat/>
    <w:rsid w:val="00FC693F"/>
    <w:pPr>
      <w:keepNext/>
      <w:spacing w:after="160" w:line="240" w:lineRule="auto" w:before="240"/>
      <w:contextualSpacing/>
    </w:pPr>
    <w:rPr>
      <w:rFonts w:cstheme="majorBidi" w:ascii="Noto Sans" w:hAnsi="Noto Sans"/>
      <w:color w:val="064B53"/>
      <w:spacing w:val="5"/>
      <w:kern w:val="28"/>
      <w:sz w:val="48"/>
      <w:szCs w:val="52"/>
    </w:rPr>
  </w:style>
  <w:style w:type="character" w:customStyle="1" w:styleId="TitleChar">
    <w:name w:val="Title Char"/>
    <w:basedOn w:val="DefaultParagraphFont"/>
    <w:link w:val="Title"/>
    <w:uiPriority w:val="10"/>
    <w:rsid w:val="00FC693F"/>
    <w:rPr>
      <w:rFonts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cstheme="majorBidi"/>
        <w:b/>
        <w:bCs/>
      </w:rPr>
    </w:tblStylePr>
    <w:tblStylePr w:type="lastCol">
      <w:rPr>
        <w:rFonts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cstheme="majorBidi"/>
        <w:b/>
        <w:bCs/>
      </w:rPr>
    </w:tblStylePr>
    <w:tblStylePr w:type="lastCol">
      <w:rPr>
        <w:rFonts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cstheme="majorBidi"/>
        <w:b/>
        <w:bCs/>
      </w:rPr>
    </w:tblStylePr>
    <w:tblStylePr w:type="lastCol">
      <w:rPr>
        <w:rFonts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cstheme="majorBidi"/>
        <w:b/>
        <w:bCs/>
      </w:rPr>
    </w:tblStylePr>
    <w:tblStylePr w:type="lastCol">
      <w:rPr>
        <w:rFonts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cstheme="majorBidi"/>
        <w:b/>
        <w:bCs/>
      </w:rPr>
    </w:tblStylePr>
    <w:tblStylePr w:type="lastCol">
      <w:rPr>
        <w:rFonts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cstheme="majorBidi"/>
        <w:b/>
        <w:bCs/>
      </w:rPr>
    </w:tblStylePr>
    <w:tblStylePr w:type="lastCol">
      <w:rPr>
        <w:rFonts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cstheme="majorBidi"/>
        <w:b/>
        <w:bCs/>
      </w:rPr>
    </w:tblStylePr>
    <w:tblStylePr w:type="lastCol">
      <w:rPr>
        <w:rFonts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KLAUZULA INFORMACYJNA – FORMULARZ KONTAKTOWY KKW</dc:title>
  <dc:subject>Serwis sprawy-spadkowe-w-poznaniu.pl</dc:subject>
  <dc:creator>Kancelaria KKW</dc:creator>
  <cp:keywords/>
  <dc:description>generated by python-docx</dc:description>
  <cp:lastModifiedBy/>
  <cp:revision>1</cp:revision>
  <dcterms:created xsi:type="dcterms:W3CDTF">2013-12-23T23:15:00Z</dcterms:created>
  <dcterms:modified xsi:type="dcterms:W3CDTF">2013-12-23T23:15:00Z</dcterms:modified>
  <cp:category/>
</cp:coreProperties>
</file>